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22805A"/>
    <w:p w14:paraId="6EFFBC64">
      <w:pPr>
        <w:spacing w:line="240" w:lineRule="auto"/>
        <w:jc w:val="both"/>
        <w:rPr>
          <w:rFonts w:hint="eastAsia" w:eastAsia="华文中宋"/>
          <w:b/>
          <w:color w:val="auto"/>
          <w:kern w:val="0"/>
          <w:sz w:val="52"/>
          <w:szCs w:val="52"/>
          <w:highlight w:val="none"/>
          <w:lang w:eastAsia="zh-CN"/>
        </w:rPr>
      </w:pPr>
    </w:p>
    <w:p w14:paraId="29C1F0FA">
      <w:pPr>
        <w:spacing w:line="540" w:lineRule="exact"/>
        <w:rPr>
          <w:rFonts w:eastAsia="华文中宋"/>
          <w:b/>
          <w:color w:val="auto"/>
          <w:kern w:val="0"/>
          <w:sz w:val="52"/>
          <w:szCs w:val="52"/>
          <w:highlight w:val="none"/>
        </w:rPr>
      </w:pPr>
    </w:p>
    <w:p w14:paraId="564FD69C">
      <w:pPr>
        <w:spacing w:line="540" w:lineRule="exact"/>
        <w:jc w:val="center"/>
        <w:rPr>
          <w:rFonts w:eastAsia="华文中宋"/>
          <w:b/>
          <w:color w:val="auto"/>
          <w:kern w:val="0"/>
          <w:sz w:val="52"/>
          <w:szCs w:val="52"/>
          <w:highlight w:val="none"/>
        </w:rPr>
      </w:pPr>
    </w:p>
    <w:p w14:paraId="64538646">
      <w:pPr>
        <w:spacing w:line="540" w:lineRule="exact"/>
        <w:jc w:val="center"/>
        <w:rPr>
          <w:rFonts w:hint="eastAsia" w:ascii="方正小标宋_GBK" w:hAnsi="方正小标宋_GBK" w:eastAsia="方正小标宋_GBK" w:cs="方正小标宋_GBK"/>
          <w:color w:val="auto"/>
          <w:kern w:val="0"/>
          <w:sz w:val="48"/>
          <w:szCs w:val="48"/>
          <w:highlight w:val="none"/>
        </w:rPr>
      </w:pPr>
      <w:r>
        <w:rPr>
          <w:rFonts w:hint="eastAsia" w:ascii="方正小标宋_GBK" w:hAnsi="方正小标宋_GBK" w:eastAsia="方正小标宋_GBK" w:cs="方正小标宋_GBK"/>
          <w:color w:val="auto"/>
          <w:kern w:val="0"/>
          <w:sz w:val="48"/>
          <w:szCs w:val="48"/>
          <w:highlight w:val="none"/>
          <w:lang w:val="en-US" w:eastAsia="zh-CN"/>
        </w:rPr>
        <w:t>消化2023年暂付款</w:t>
      </w:r>
      <w:r>
        <w:rPr>
          <w:rFonts w:hint="eastAsia" w:ascii="方正小标宋_GBK" w:hAnsi="方正小标宋_GBK" w:eastAsia="方正小标宋_GBK" w:cs="方正小标宋_GBK"/>
          <w:color w:val="auto"/>
          <w:kern w:val="0"/>
          <w:sz w:val="48"/>
          <w:szCs w:val="48"/>
          <w:highlight w:val="none"/>
        </w:rPr>
        <w:t>项目支出绩效评价报告</w:t>
      </w:r>
    </w:p>
    <w:p w14:paraId="4296C610">
      <w:pPr>
        <w:spacing w:line="540" w:lineRule="exact"/>
        <w:jc w:val="center"/>
        <w:rPr>
          <w:rFonts w:eastAsia="华文中宋"/>
          <w:b/>
          <w:color w:val="auto"/>
          <w:kern w:val="0"/>
          <w:sz w:val="52"/>
          <w:szCs w:val="52"/>
          <w:highlight w:val="none"/>
        </w:rPr>
      </w:pPr>
    </w:p>
    <w:p w14:paraId="6FCB3DC3">
      <w:pPr>
        <w:spacing w:line="540" w:lineRule="exact"/>
        <w:jc w:val="center"/>
        <w:rPr>
          <w:rFonts w:eastAsia="仿宋_GB2312"/>
          <w:color w:val="auto"/>
          <w:kern w:val="0"/>
          <w:sz w:val="36"/>
          <w:szCs w:val="36"/>
          <w:highlight w:val="none"/>
        </w:rPr>
      </w:pPr>
      <w:r>
        <w:rPr>
          <w:rFonts w:eastAsia="仿宋_GB2312"/>
          <w:color w:val="auto"/>
          <w:kern w:val="0"/>
          <w:sz w:val="36"/>
          <w:szCs w:val="36"/>
          <w:highlight w:val="none"/>
        </w:rPr>
        <w:t>（202</w:t>
      </w:r>
      <w:r>
        <w:rPr>
          <w:rFonts w:hint="eastAsia" w:eastAsia="仿宋_GB2312"/>
          <w:color w:val="auto"/>
          <w:kern w:val="0"/>
          <w:sz w:val="36"/>
          <w:szCs w:val="36"/>
          <w:highlight w:val="none"/>
          <w:lang w:val="en-US" w:eastAsia="zh-CN"/>
        </w:rPr>
        <w:t>4</w:t>
      </w:r>
      <w:r>
        <w:rPr>
          <w:rFonts w:eastAsia="仿宋_GB2312"/>
          <w:color w:val="auto"/>
          <w:kern w:val="0"/>
          <w:sz w:val="36"/>
          <w:szCs w:val="36"/>
          <w:highlight w:val="none"/>
        </w:rPr>
        <w:t>年度）</w:t>
      </w:r>
    </w:p>
    <w:p w14:paraId="4786BC22">
      <w:pPr>
        <w:spacing w:line="540" w:lineRule="exact"/>
        <w:jc w:val="center"/>
        <w:rPr>
          <w:rFonts w:eastAsia="仿宋_GB2312"/>
          <w:color w:val="auto"/>
          <w:kern w:val="0"/>
          <w:sz w:val="30"/>
          <w:szCs w:val="30"/>
          <w:highlight w:val="none"/>
        </w:rPr>
      </w:pPr>
    </w:p>
    <w:p w14:paraId="7C5A7B8F">
      <w:pPr>
        <w:spacing w:line="540" w:lineRule="exact"/>
        <w:jc w:val="center"/>
        <w:rPr>
          <w:rFonts w:eastAsia="仿宋_GB2312"/>
          <w:color w:val="auto"/>
          <w:kern w:val="0"/>
          <w:sz w:val="30"/>
          <w:szCs w:val="30"/>
          <w:highlight w:val="none"/>
        </w:rPr>
      </w:pPr>
    </w:p>
    <w:p w14:paraId="6FA17FF9">
      <w:pPr>
        <w:spacing w:line="540" w:lineRule="exact"/>
        <w:jc w:val="center"/>
        <w:rPr>
          <w:rFonts w:eastAsia="仿宋_GB2312"/>
          <w:color w:val="auto"/>
          <w:kern w:val="0"/>
          <w:sz w:val="30"/>
          <w:szCs w:val="30"/>
          <w:highlight w:val="none"/>
        </w:rPr>
      </w:pPr>
    </w:p>
    <w:p w14:paraId="55DA75F5">
      <w:pPr>
        <w:pStyle w:val="9"/>
        <w:rPr>
          <w:color w:val="auto"/>
          <w:highlight w:val="none"/>
        </w:rPr>
      </w:pPr>
    </w:p>
    <w:p w14:paraId="09589B64">
      <w:pPr>
        <w:spacing w:line="540" w:lineRule="exact"/>
        <w:jc w:val="center"/>
        <w:rPr>
          <w:rFonts w:eastAsia="仿宋_GB2312"/>
          <w:color w:val="auto"/>
          <w:kern w:val="0"/>
          <w:sz w:val="30"/>
          <w:szCs w:val="30"/>
          <w:highlight w:val="none"/>
        </w:rPr>
      </w:pPr>
    </w:p>
    <w:p w14:paraId="0EC57D0F">
      <w:pPr>
        <w:spacing w:line="540" w:lineRule="exact"/>
        <w:rPr>
          <w:rFonts w:eastAsia="仿宋_GB2312"/>
          <w:color w:val="auto"/>
          <w:kern w:val="0"/>
          <w:sz w:val="30"/>
          <w:szCs w:val="30"/>
          <w:highlight w:val="none"/>
        </w:rPr>
      </w:pPr>
    </w:p>
    <w:p w14:paraId="023EB756">
      <w:pPr>
        <w:pStyle w:val="9"/>
        <w:rPr>
          <w:rFonts w:eastAsia="仿宋_GB2312"/>
          <w:color w:val="auto"/>
          <w:kern w:val="0"/>
          <w:sz w:val="30"/>
          <w:szCs w:val="30"/>
          <w:highlight w:val="none"/>
        </w:rPr>
      </w:pPr>
    </w:p>
    <w:p w14:paraId="7D22B8BC">
      <w:pPr>
        <w:rPr>
          <w:color w:val="auto"/>
          <w:highlight w:val="none"/>
        </w:rPr>
      </w:pPr>
    </w:p>
    <w:p w14:paraId="079397B2">
      <w:pPr>
        <w:rPr>
          <w:color w:val="auto"/>
          <w:highlight w:val="none"/>
        </w:rPr>
      </w:pPr>
    </w:p>
    <w:p w14:paraId="74F16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420" w:leftChars="200"/>
        <w:jc w:val="both"/>
        <w:textAlignment w:val="auto"/>
        <w:rPr>
          <w:rFonts w:hint="default" w:eastAsia="仿宋_GB2312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eastAsia="仿宋_GB2312"/>
          <w:color w:val="auto"/>
          <w:kern w:val="0"/>
          <w:sz w:val="36"/>
          <w:szCs w:val="36"/>
          <w:highlight w:val="none"/>
        </w:rPr>
        <w:t>项目名称：</w:t>
      </w:r>
      <w:r>
        <w:rPr>
          <w:rFonts w:hint="eastAsia" w:eastAsia="仿宋_GB2312"/>
          <w:color w:val="auto"/>
          <w:kern w:val="0"/>
          <w:sz w:val="32"/>
          <w:szCs w:val="32"/>
          <w:highlight w:val="none"/>
          <w:lang w:val="en-US" w:eastAsia="zh-CN"/>
        </w:rPr>
        <w:t>消化2023年暂付款</w:t>
      </w:r>
    </w:p>
    <w:p w14:paraId="24B205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4020" w:leftChars="200" w:hanging="3600" w:hangingChars="1000"/>
        <w:jc w:val="both"/>
        <w:textAlignment w:val="auto"/>
        <w:rPr>
          <w:rFonts w:hint="eastAsia" w:eastAsia="仿宋_GB2312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eastAsia="仿宋_GB2312"/>
          <w:color w:val="auto"/>
          <w:kern w:val="0"/>
          <w:sz w:val="36"/>
          <w:szCs w:val="36"/>
          <w:highlight w:val="none"/>
        </w:rPr>
        <w:t>实施单位（公章）：</w:t>
      </w:r>
      <w:r>
        <w:rPr>
          <w:rFonts w:hint="eastAsia" w:eastAsia="仿宋_GB2312"/>
          <w:color w:val="auto"/>
          <w:kern w:val="0"/>
          <w:sz w:val="32"/>
          <w:szCs w:val="32"/>
          <w:highlight w:val="none"/>
          <w:lang w:val="en-US" w:eastAsia="zh-CN"/>
        </w:rPr>
        <w:t>乌鲁木齐市水磨沟区科学技术协会</w:t>
      </w:r>
    </w:p>
    <w:p w14:paraId="1F04E3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4020" w:leftChars="200" w:hanging="3600" w:hangingChars="1000"/>
        <w:jc w:val="both"/>
        <w:textAlignment w:val="auto"/>
        <w:rPr>
          <w:rFonts w:hint="eastAsia" w:eastAsia="仿宋_GB2312"/>
          <w:color w:val="auto"/>
          <w:kern w:val="0"/>
          <w:sz w:val="36"/>
          <w:szCs w:val="36"/>
          <w:highlight w:val="none"/>
          <w:lang w:val="en-US" w:eastAsia="zh-CN"/>
        </w:rPr>
      </w:pPr>
      <w:r>
        <w:rPr>
          <w:rFonts w:eastAsia="仿宋_GB2312"/>
          <w:color w:val="auto"/>
          <w:kern w:val="0"/>
          <w:sz w:val="36"/>
          <w:szCs w:val="36"/>
          <w:highlight w:val="none"/>
        </w:rPr>
        <w:t>主管部门（公章）：</w:t>
      </w:r>
      <w:r>
        <w:rPr>
          <w:rFonts w:hint="eastAsia" w:eastAsia="仿宋_GB2312"/>
          <w:color w:val="auto"/>
          <w:kern w:val="0"/>
          <w:sz w:val="32"/>
          <w:szCs w:val="32"/>
          <w:highlight w:val="none"/>
          <w:lang w:val="en-US" w:eastAsia="zh-CN"/>
        </w:rPr>
        <w:t>乌鲁木齐市水磨沟区科学技术协会</w:t>
      </w:r>
    </w:p>
    <w:p w14:paraId="3408A6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420" w:leftChars="200"/>
        <w:jc w:val="both"/>
        <w:textAlignment w:val="auto"/>
        <w:rPr>
          <w:rFonts w:hint="eastAsia" w:eastAsia="仿宋_GB2312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eastAsia="仿宋_GB2312"/>
          <w:color w:val="auto"/>
          <w:kern w:val="0"/>
          <w:sz w:val="36"/>
          <w:szCs w:val="36"/>
          <w:highlight w:val="none"/>
        </w:rPr>
        <w:t>项目负责人（签章）：</w:t>
      </w:r>
      <w:r>
        <w:rPr>
          <w:rFonts w:hint="eastAsia" w:eastAsia="仿宋_GB2312"/>
          <w:color w:val="auto"/>
          <w:kern w:val="0"/>
          <w:sz w:val="32"/>
          <w:szCs w:val="32"/>
          <w:highlight w:val="none"/>
          <w:lang w:val="en-US" w:eastAsia="zh-CN"/>
        </w:rPr>
        <w:t>王宸宛若</w:t>
      </w:r>
    </w:p>
    <w:p w14:paraId="625A57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420" w:leftChars="200"/>
        <w:jc w:val="both"/>
        <w:textAlignment w:val="auto"/>
        <w:rPr>
          <w:rFonts w:eastAsia="仿宋_GB2312"/>
          <w:color w:val="auto"/>
          <w:kern w:val="0"/>
          <w:sz w:val="36"/>
          <w:szCs w:val="36"/>
          <w:highlight w:val="none"/>
        </w:rPr>
      </w:pPr>
      <w:r>
        <w:rPr>
          <w:rFonts w:eastAsia="仿宋_GB2312"/>
          <w:color w:val="auto"/>
          <w:kern w:val="0"/>
          <w:sz w:val="36"/>
          <w:szCs w:val="36"/>
          <w:highlight w:val="none"/>
        </w:rPr>
        <w:t>填报时间：</w:t>
      </w:r>
      <w:r>
        <w:rPr>
          <w:rFonts w:hint="eastAsia" w:eastAsia="仿宋_GB2312"/>
          <w:color w:val="auto"/>
          <w:kern w:val="0"/>
          <w:sz w:val="36"/>
          <w:szCs w:val="36"/>
          <w:highlight w:val="none"/>
          <w:lang w:val="en-US" w:eastAsia="zh-CN"/>
        </w:rPr>
        <w:t>2025</w:t>
      </w:r>
      <w:r>
        <w:rPr>
          <w:rFonts w:eastAsia="仿宋_GB2312"/>
          <w:color w:val="auto"/>
          <w:kern w:val="0"/>
          <w:sz w:val="36"/>
          <w:szCs w:val="36"/>
          <w:highlight w:val="none"/>
        </w:rPr>
        <w:t>年</w:t>
      </w:r>
      <w:r>
        <w:rPr>
          <w:rFonts w:hint="eastAsia" w:eastAsia="仿宋_GB2312"/>
          <w:color w:val="auto"/>
          <w:kern w:val="0"/>
          <w:sz w:val="36"/>
          <w:szCs w:val="36"/>
          <w:highlight w:val="none"/>
          <w:lang w:val="en-US" w:eastAsia="zh-CN"/>
        </w:rPr>
        <w:t>4</w:t>
      </w:r>
      <w:r>
        <w:rPr>
          <w:rFonts w:eastAsia="仿宋_GB2312"/>
          <w:color w:val="auto"/>
          <w:kern w:val="0"/>
          <w:sz w:val="36"/>
          <w:szCs w:val="36"/>
          <w:highlight w:val="none"/>
        </w:rPr>
        <w:t>月</w:t>
      </w:r>
      <w:r>
        <w:rPr>
          <w:rFonts w:hint="eastAsia" w:eastAsia="仿宋_GB2312"/>
          <w:color w:val="auto"/>
          <w:kern w:val="0"/>
          <w:sz w:val="36"/>
          <w:szCs w:val="36"/>
          <w:highlight w:val="none"/>
          <w:lang w:val="en-US" w:eastAsia="zh-CN"/>
        </w:rPr>
        <w:t>1</w:t>
      </w:r>
      <w:r>
        <w:rPr>
          <w:rFonts w:eastAsia="仿宋_GB2312"/>
          <w:color w:val="auto"/>
          <w:kern w:val="0"/>
          <w:sz w:val="36"/>
          <w:szCs w:val="36"/>
          <w:highlight w:val="none"/>
        </w:rPr>
        <w:t>日</w:t>
      </w:r>
    </w:p>
    <w:p w14:paraId="7A0E29B2">
      <w:pPr>
        <w:spacing w:line="540" w:lineRule="exact"/>
        <w:jc w:val="center"/>
        <w:rPr>
          <w:rFonts w:eastAsia="仿宋_GB2312"/>
          <w:color w:val="auto"/>
          <w:kern w:val="0"/>
          <w:sz w:val="30"/>
          <w:szCs w:val="30"/>
          <w:highlight w:val="none"/>
        </w:rPr>
      </w:pPr>
    </w:p>
    <w:p w14:paraId="33D60492">
      <w:pPr>
        <w:spacing w:line="540" w:lineRule="exact"/>
        <w:rPr>
          <w:rStyle w:val="14"/>
          <w:rFonts w:eastAsia="黑体"/>
          <w:b w:val="0"/>
          <w:color w:val="auto"/>
          <w:spacing w:val="-4"/>
          <w:sz w:val="32"/>
          <w:szCs w:val="32"/>
          <w:highlight w:val="none"/>
        </w:rPr>
        <w:sectPr>
          <w:pgSz w:w="11906" w:h="16838"/>
          <w:pgMar w:top="2098" w:right="1531" w:bottom="1984" w:left="1531" w:header="851" w:footer="992" w:gutter="0"/>
          <w:cols w:space="425" w:num="1"/>
          <w:docGrid w:type="lines" w:linePitch="312" w:charSpace="0"/>
        </w:sectPr>
      </w:pPr>
    </w:p>
    <w:p w14:paraId="13C88E9A">
      <w:pPr>
        <w:spacing w:line="560" w:lineRule="exact"/>
        <w:ind w:firstLine="960" w:firstLineChars="300"/>
        <w:rPr>
          <w:rFonts w:eastAsia="黑体"/>
          <w:bCs/>
          <w:color w:val="auto"/>
          <w:sz w:val="32"/>
          <w:szCs w:val="32"/>
          <w:highlight w:val="none"/>
        </w:rPr>
      </w:pPr>
      <w:r>
        <w:rPr>
          <w:rFonts w:eastAsia="黑体"/>
          <w:bCs/>
          <w:color w:val="auto"/>
          <w:sz w:val="32"/>
          <w:szCs w:val="32"/>
          <w:highlight w:val="none"/>
        </w:rPr>
        <w:t>一、基本情况</w:t>
      </w:r>
    </w:p>
    <w:p w14:paraId="0E51BFA8">
      <w:pPr>
        <w:spacing w:line="560" w:lineRule="exact"/>
        <w:ind w:firstLine="643" w:firstLineChars="200"/>
        <w:rPr>
          <w:rFonts w:eastAsia="楷体_GB2312"/>
          <w:b/>
          <w:bCs/>
          <w:color w:val="auto"/>
          <w:sz w:val="32"/>
          <w:szCs w:val="32"/>
          <w:highlight w:val="none"/>
        </w:rPr>
      </w:pPr>
      <w:r>
        <w:rPr>
          <w:rFonts w:eastAsia="楷体_GB2312"/>
          <w:b/>
          <w:bCs/>
          <w:color w:val="auto"/>
          <w:sz w:val="32"/>
          <w:szCs w:val="32"/>
          <w:highlight w:val="none"/>
        </w:rPr>
        <w:t>（一）项目概况</w:t>
      </w:r>
    </w:p>
    <w:p w14:paraId="0A22BF74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项目背景</w:t>
      </w:r>
    </w:p>
    <w:p w14:paraId="3CC2360F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该项目实施背景：根据绩效评价相关要求，我单位选择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消化2023年暂付款项目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作为本单位此次项目绩效进行评价，消化202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年暂付款项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目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主要用于我单位202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年度雇员和临聘人员工资、运转类公用经费使用。因我单位实有在职人员较少，经水磨沟区人力资源和社会保障局批准，202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年我单位聘用雇员2名，临聘人员2名，雇员和临聘人员主要用于补充单位工作人员不足的现状，协助单位在职人员完成单位各项工作任务。</w:t>
      </w:r>
    </w:p>
    <w:p w14:paraId="12B66B75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经财政局《202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年部门预算非定额说明》明确批示，消化202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年暂付款项目实施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期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一年，202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年1月1日至12月31日。项目系202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年预算内资金，共安排资金31.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69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万元，为年初预算资金。资金全部到位且全部支付完毕，年中没有对资金进行调增、调减。</w:t>
      </w:r>
    </w:p>
    <w:p w14:paraId="787867AA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项目主要内容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及实施情况</w:t>
      </w:r>
    </w:p>
    <w:p w14:paraId="0B0ED82E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项目主要内容：消化202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年暂付款项目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资金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全部用于支付202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年雇员及临聘人员工资、社保、公积金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暖气费、年度考核奖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等支出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共使用资金31.69万元。</w:t>
      </w:r>
    </w:p>
    <w:p w14:paraId="0BD30F74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2023年当年完成情况，实际完成情况为：该项目通过聘用雇员和临聘人员来补充单位工作人员不足的情况，协助单位在职人员完成单位各项工作任务。202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年度内，聘用雇员2名，临聘人员2名，每月按照考勤足额发放聘用人员工资、社保、公积金等费用，全年支付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临聘人员委托业务费31.69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万元。我单位通过严格考勤制度、明确职责分工、每月及时准确发放雇员及临聘工资，提高雇员和临聘人员工作效率及满意度，以缓解我单位在职人员不够的情况，保障单位工作正常运行，全面完成各项工作任务，不断提高我区各族群众科学文化素质，为水磨沟区经济社会发展和社会和谐贡献力量。</w:t>
      </w:r>
    </w:p>
    <w:p w14:paraId="7121089B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项目实施情况：项目目前已经完成实际设立的目标，项目在实施过程中严格按照目标设立的各阶段任务进行开展工作，在前期立项过程中严格把质量关，建立安全防护机制，保证项目实施各阶段安全顺利进行。</w:t>
      </w:r>
    </w:p>
    <w:p w14:paraId="534FC442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3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资金投入和使用情况</w:t>
      </w:r>
    </w:p>
    <w:p w14:paraId="5F477144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（1）资金投入情况</w:t>
      </w:r>
    </w:p>
    <w:p w14:paraId="2128D424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该项目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eastAsia="zh-CN"/>
        </w:rPr>
        <w:t>年初预算数为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31.69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万元，全年预算数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31.69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万元，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资金到位31.69万元，资金到位率100%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，资金来源为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财政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拨款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。</w:t>
      </w:r>
    </w:p>
    <w:p w14:paraId="1C7DAFA3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（2）资金使用情况</w:t>
      </w:r>
    </w:p>
    <w:p w14:paraId="49180F41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该项目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eastAsia="zh-CN"/>
        </w:rPr>
        <w:t>年初预算数为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31.69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万元，全年预算数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31.69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万元,，全年执行数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31.69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万元，预算执行率为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%，主要用于：支付我单位雇员和临聘人员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工资、 社保、公积金、暖气费、雇员年度考核奖等，共使用资金31.69万元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。</w:t>
      </w:r>
    </w:p>
    <w:p w14:paraId="10E03837">
      <w:pPr>
        <w:spacing w:line="560" w:lineRule="exact"/>
        <w:ind w:firstLine="643" w:firstLineChars="200"/>
        <w:rPr>
          <w:rFonts w:eastAsia="楷体_GB2312"/>
          <w:b/>
          <w:bCs/>
          <w:color w:val="auto"/>
          <w:sz w:val="32"/>
          <w:szCs w:val="32"/>
          <w:highlight w:val="none"/>
        </w:rPr>
      </w:pPr>
      <w:r>
        <w:rPr>
          <w:rFonts w:eastAsia="楷体_GB2312"/>
          <w:b/>
          <w:bCs/>
          <w:color w:val="auto"/>
          <w:sz w:val="32"/>
          <w:szCs w:val="32"/>
          <w:highlight w:val="none"/>
        </w:rPr>
        <w:t>（二）项目绩效目标</w:t>
      </w:r>
    </w:p>
    <w:p w14:paraId="5CD679DC">
      <w:pPr>
        <w:spacing w:line="560" w:lineRule="exact"/>
        <w:ind w:firstLine="643" w:firstLineChars="200"/>
        <w:rPr>
          <w:rFonts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highlight w:val="none"/>
          <w:lang w:val="en-US" w:eastAsia="zh-CN" w:bidi="ar-SA"/>
        </w:rPr>
        <w:t>1.总体目标</w:t>
      </w:r>
    </w:p>
    <w:p w14:paraId="7DABC101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消化202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年暂付款项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目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资金为水磨沟区科协实际完成聘用雇员、临聘人员工资社保公积金等费用支出，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周期为一年，年内计划完成100%。我单位通过聘用雇员和临聘人员补充单位人员不足的情况，协助单位在编人员完成各项工作任务，保障单位工作正常运行，全面完成各项工作任务，积极发挥我单位桥梁纽带作用。</w:t>
      </w:r>
    </w:p>
    <w:p w14:paraId="593F1B15">
      <w:pPr>
        <w:numPr>
          <w:ilvl w:val="0"/>
          <w:numId w:val="1"/>
        </w:num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highlight w:val="none"/>
          <w:lang w:val="en-US" w:eastAsia="zh-CN" w:bidi="ar-SA"/>
        </w:rPr>
        <w:t>阶段性目标</w:t>
      </w:r>
    </w:p>
    <w:p w14:paraId="5325791B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上半年计划利用“科技之冬、科普月”等时间节点开展形式多样、内容丰富的科普宣传活动。大力弘扬科学精神，提升我区居民的科学素质。</w:t>
      </w:r>
    </w:p>
    <w:p w14:paraId="5E78591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根据《关于开展今冬明春“科技之冬”活动的通知》要求，在雇员和临聘人员的协助下，我单位积极联系各级科技工作者开展科技志愿服务，助力乡村振兴，为我区东部三个村农牧民进行农技、健康类科普宣传，1月-3月共开展“科技之冬”系列活动12场，受众人数约为400余人；5月4日在水磨沟公园承接乌鲁木齐市科普活动月分会场活动，参与人数近千人。5月30日联合区教育局开展“仰望星空，了解宇宙”天文科普进校园活动，截至目前，已开展4场，覆盖人数达3000人次。保障了我单位上半年的各项工作顺利开展。</w:t>
      </w:r>
    </w:p>
    <w:p w14:paraId="04813462">
      <w:pPr>
        <w:pStyle w:val="2"/>
        <w:rPr>
          <w:rFonts w:hint="default"/>
          <w:color w:val="auto"/>
          <w:highlight w:val="none"/>
          <w:lang w:val="en-US" w:eastAsia="zh-CN"/>
        </w:rPr>
      </w:pPr>
    </w:p>
    <w:p w14:paraId="609EE5E8">
      <w:pPr>
        <w:spacing w:line="560" w:lineRule="exact"/>
        <w:ind w:firstLine="640" w:firstLineChars="200"/>
        <w:rPr>
          <w:rFonts w:eastAsia="黑体"/>
          <w:color w:val="auto"/>
          <w:sz w:val="32"/>
          <w:szCs w:val="32"/>
          <w:highlight w:val="none"/>
        </w:rPr>
      </w:pPr>
      <w:r>
        <w:rPr>
          <w:rFonts w:eastAsia="黑体"/>
          <w:color w:val="auto"/>
          <w:sz w:val="32"/>
          <w:szCs w:val="32"/>
          <w:highlight w:val="none"/>
        </w:rPr>
        <w:t>二、绩效评价工作开展情况</w:t>
      </w:r>
    </w:p>
    <w:p w14:paraId="486AE9F1">
      <w:pPr>
        <w:spacing w:line="560" w:lineRule="exact"/>
        <w:ind w:firstLine="643" w:firstLineChars="200"/>
        <w:rPr>
          <w:rFonts w:eastAsia="楷体_GB2312"/>
          <w:b/>
          <w:bCs/>
          <w:color w:val="auto"/>
          <w:sz w:val="32"/>
          <w:szCs w:val="32"/>
          <w:highlight w:val="none"/>
        </w:rPr>
      </w:pPr>
      <w:r>
        <w:rPr>
          <w:rFonts w:eastAsia="楷体_GB2312"/>
          <w:b/>
          <w:bCs/>
          <w:color w:val="auto"/>
          <w:sz w:val="32"/>
          <w:szCs w:val="32"/>
          <w:highlight w:val="none"/>
        </w:rPr>
        <w:t>（一）绩效评价目的、对象和范围</w:t>
      </w:r>
    </w:p>
    <w:p w14:paraId="57029054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绩效评价的目的</w:t>
      </w:r>
    </w:p>
    <w:p w14:paraId="376F6B9E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</w:t>
      </w:r>
    </w:p>
    <w:p w14:paraId="226BE450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项目在实施前向项目负责人提供财政支出绩效方面的资金管理信息，促进项目支出严格按照资金管理规定进行。</w:t>
      </w:r>
    </w:p>
    <w:p w14:paraId="18F48C48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（2）项目绩效管理财政支出运行提供及时、有效的信息。</w:t>
      </w:r>
    </w:p>
    <w:p w14:paraId="1EE1F441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</w:t>
      </w:r>
    </w:p>
    <w:p w14:paraId="035C2850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2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绩效评价的对象</w:t>
      </w:r>
    </w:p>
    <w:p w14:paraId="06893B8D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消化2023年暂付款项目所包含的全部项目内容。</w:t>
      </w:r>
    </w:p>
    <w:p w14:paraId="62CA15B6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3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绩效评价的范围</w:t>
      </w:r>
    </w:p>
    <w:p w14:paraId="3412CB5F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本次评价从项目决策（包括绩效目标、决策过程）、项目管理（包括项目资金、项目实施）、项目产出（包括项目产出数量、产出质量、产出时效和产出成本）项目效益四个维度对消化2023年暂付款项目进行评价，评价核心为专项资金的支出完成情况和效果。</w:t>
      </w:r>
    </w:p>
    <w:p w14:paraId="1D68984A">
      <w:pPr>
        <w:spacing w:line="560" w:lineRule="exact"/>
        <w:ind w:firstLine="643" w:firstLineChars="200"/>
        <w:rPr>
          <w:color w:val="auto"/>
          <w:highlight w:val="none"/>
        </w:rPr>
      </w:pPr>
      <w:r>
        <w:rPr>
          <w:rFonts w:eastAsia="楷体_GB2312"/>
          <w:b/>
          <w:bCs/>
          <w:color w:val="auto"/>
          <w:sz w:val="32"/>
          <w:szCs w:val="32"/>
          <w:highlight w:val="none"/>
        </w:rPr>
        <w:t>（二）绩效评价原则、评价指标体系（详情见</w:t>
      </w:r>
      <w:r>
        <w:rPr>
          <w:rFonts w:hint="eastAsia" w:eastAsia="楷体_GB2312"/>
          <w:b/>
          <w:bCs/>
          <w:color w:val="auto"/>
          <w:sz w:val="32"/>
          <w:szCs w:val="32"/>
          <w:highlight w:val="none"/>
          <w:lang w:val="en-US" w:eastAsia="zh-CN"/>
        </w:rPr>
        <w:t>附件2</w:t>
      </w:r>
      <w:r>
        <w:rPr>
          <w:rFonts w:eastAsia="楷体_GB2312"/>
          <w:b/>
          <w:bCs/>
          <w:color w:val="auto"/>
          <w:sz w:val="32"/>
          <w:szCs w:val="32"/>
          <w:highlight w:val="none"/>
        </w:rPr>
        <w:t>）、评价方法、评价标准</w:t>
      </w:r>
    </w:p>
    <w:p w14:paraId="179C4473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绩效评价原则</w:t>
      </w:r>
    </w:p>
    <w:p w14:paraId="68BC8FFE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本次项目绩效评价遵循以下基本原则：</w:t>
      </w:r>
    </w:p>
    <w:p w14:paraId="04A60111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（1）科学公正。绩效评价应当运用科学合理的方法，按照规范的程序，对项目绩效进行客观、公正的反映。</w:t>
      </w:r>
    </w:p>
    <w:p w14:paraId="51899A38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</w:p>
    <w:p w14:paraId="2BEFEF5D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（3）激励约束。绩效评价结果应与预算安排、政策调整、改进管理实质性挂钩，体现奖优罚劣和激励相容导向，有效要安排、低效要压减、无效要问责。</w:t>
      </w:r>
    </w:p>
    <w:p w14:paraId="05E3D9DA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（4）公开透明。绩效评价结果应依法依规公开，并自觉接受社会监督。</w:t>
      </w:r>
    </w:p>
    <w:p w14:paraId="512BD546">
      <w:pPr>
        <w:ind w:firstLine="643" w:firstLineChars="20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2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评价指标体系</w:t>
      </w:r>
    </w:p>
    <w:p w14:paraId="5E73C6C9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44942508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（1）确定评价指标</w:t>
      </w:r>
    </w:p>
    <w:p w14:paraId="6924B655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 w14:paraId="757C1F6B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（2）确定权重</w:t>
      </w:r>
    </w:p>
    <w:p w14:paraId="2C7A3813">
      <w:pPr>
        <w:spacing w:line="560" w:lineRule="exact"/>
        <w:ind w:firstLine="640" w:firstLineChars="200"/>
        <w:rPr>
          <w:rFonts w:eastAsia="仿宋_GB2312"/>
          <w:color w:val="auto"/>
          <w:spacing w:val="17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确定各个指标相对于项目总体绩效的权重分值。在绩效评价指标体系中，项目决策权重为20分，项目过程权重为20分，项目产出权重为40分，项目效益权重为</w:t>
      </w:r>
      <w:r>
        <w:rPr>
          <w:rFonts w:eastAsia="仿宋_GB2312"/>
          <w:color w:val="auto"/>
          <w:spacing w:val="17"/>
          <w:sz w:val="32"/>
          <w:szCs w:val="32"/>
          <w:highlight w:val="none"/>
        </w:rPr>
        <w:t>20分。</w:t>
      </w:r>
    </w:p>
    <w:p w14:paraId="3E8793FC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（3）确定指标标准值</w:t>
      </w:r>
    </w:p>
    <w:p w14:paraId="24843A90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571DE7E9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</w:p>
    <w:p w14:paraId="3AD73ECF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具体评价指标体系详情见附件2。</w:t>
      </w:r>
    </w:p>
    <w:p w14:paraId="18407A89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3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绩效评价方法</w:t>
      </w:r>
    </w:p>
    <w:p w14:paraId="38C498C0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绩效评价从项目决策、项目过程、项目产出、项目效益四个维度进行评价。评价对象为项目目标实施情况，  评价核心为资金的支出完成情况和项目的产出效益。</w:t>
      </w:r>
    </w:p>
    <w:p w14:paraId="48010A0A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本次评价指标中，既有定性指标又有定量指标，各类指标因考核内容不同和客观标准不同存在较大差异，因此核定具体指标时采用了不同方法，具体评价方法如下：</w:t>
      </w:r>
    </w:p>
    <w:p w14:paraId="42B8D6C5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（1）比较法</w:t>
      </w:r>
    </w:p>
    <w:p w14:paraId="7333C329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通过对绩效目标与实施效果、历史与当期情况，综合分析绩效目标实现程度。对项目最终验收情况与年度绩效目标对比、预算资金执行情况等相关因素进行比较。</w:t>
      </w:r>
    </w:p>
    <w:p w14:paraId="084B002C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（2）因素分析法</w:t>
      </w:r>
    </w:p>
    <w:p w14:paraId="2DAA5D8E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</w:t>
      </w:r>
    </w:p>
    <w:p w14:paraId="62464D0A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4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评价标准</w:t>
      </w:r>
    </w:p>
    <w:p w14:paraId="43F77787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绩效评价标准通常包括计划标准、行业标准、历史标准等，用于对绩效指标完成情况进行比较、分析、评价。本次评价主要采用了计划标准。</w:t>
      </w:r>
    </w:p>
    <w:p w14:paraId="7FB6CA9F">
      <w:pPr>
        <w:spacing w:line="560" w:lineRule="exact"/>
        <w:ind w:firstLine="64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bookmarkStart w:id="0" w:name="_Toc31464"/>
      <w:bookmarkStart w:id="1" w:name="_Toc17882"/>
      <w:r>
        <w:rPr>
          <w:rFonts w:hint="eastAsia" w:eastAsia="方正仿宋_GBK" w:cs="方正仿宋_GBK"/>
          <w:b/>
          <w:bCs/>
          <w:color w:val="auto"/>
          <w:sz w:val="32"/>
          <w:szCs w:val="32"/>
          <w:highlight w:val="none"/>
        </w:rPr>
        <w:t>计划标准：</w:t>
      </w:r>
      <w:r>
        <w:rPr>
          <w:rFonts w:hint="eastAsia" w:eastAsia="方正仿宋_GBK" w:cs="方正仿宋_GBK"/>
          <w:color w:val="auto"/>
          <w:sz w:val="32"/>
          <w:szCs w:val="32"/>
          <w:highlight w:val="none"/>
        </w:rPr>
        <w:t>指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以预先制定的目标、计划、预算、定额等作为评价标准。</w:t>
      </w:r>
      <w:bookmarkEnd w:id="0"/>
      <w:bookmarkEnd w:id="1"/>
    </w:p>
    <w:p w14:paraId="410FBB83">
      <w:pPr>
        <w:pStyle w:val="9"/>
        <w:numPr>
          <w:ilvl w:val="0"/>
          <w:numId w:val="2"/>
        </w:numPr>
        <w:spacing w:before="0" w:after="0" w:line="560" w:lineRule="exact"/>
        <w:ind w:firstLine="711" w:firstLineChars="200"/>
        <w:jc w:val="both"/>
        <w:rPr>
          <w:rFonts w:ascii="楷体" w:hAnsi="楷体" w:eastAsia="楷体" w:cs="楷体"/>
          <w:color w:val="auto"/>
          <w:spacing w:val="17"/>
          <w:highlight w:val="none"/>
        </w:rPr>
      </w:pPr>
      <w:r>
        <w:rPr>
          <w:rFonts w:hint="eastAsia" w:ascii="楷体" w:hAnsi="楷体" w:eastAsia="楷体" w:cs="楷体"/>
          <w:color w:val="auto"/>
          <w:spacing w:val="17"/>
          <w:highlight w:val="none"/>
        </w:rPr>
        <w:t>绩效评价工作过程</w:t>
      </w:r>
    </w:p>
    <w:p w14:paraId="6B96B7A8">
      <w:pPr>
        <w:spacing w:line="560" w:lineRule="exact"/>
        <w:ind w:firstLine="643" w:firstLineChars="200"/>
        <w:rPr>
          <w:rFonts w:eastAsia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1.前期准备。</w:t>
      </w:r>
      <w:r>
        <w:rPr>
          <w:rFonts w:hint="eastAsia" w:eastAsia="仿宋_GB2312"/>
          <w:bCs/>
          <w:color w:val="auto"/>
          <w:sz w:val="32"/>
          <w:szCs w:val="32"/>
          <w:highlight w:val="none"/>
        </w:rPr>
        <w:t>首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先成立评价工作组，开展前期调研；其次明确项目绩效目标，设计绩效评价指标体系并确定绩效评价方法；接着确定现场和非现场评价范围，设计资料清单；最后制定评价实施方案并进行论证。</w:t>
      </w:r>
    </w:p>
    <w:p w14:paraId="54A3D70C">
      <w:pPr>
        <w:spacing w:line="560" w:lineRule="exact"/>
        <w:ind w:firstLine="643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2.组织实施。</w:t>
      </w:r>
      <w:r>
        <w:rPr>
          <w:rFonts w:hint="eastAsia" w:eastAsia="仿宋_GB2312"/>
          <w:bCs/>
          <w:color w:val="auto"/>
          <w:sz w:val="32"/>
          <w:szCs w:val="32"/>
          <w:highlight w:val="none"/>
        </w:rPr>
        <w:t>制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定绩效评价工作方案，具体包括项目概况、评价思路、方法手段、组织实施、进度安排等。收集项目立项依据、相关会议纪要、实施方案、财政资金分配方案、支付管理情况等相关评价资料并进行梳理。</w:t>
      </w:r>
    </w:p>
    <w:p w14:paraId="33FFDD76">
      <w:pPr>
        <w:spacing w:line="560" w:lineRule="exact"/>
        <w:ind w:firstLine="643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3.分析评价。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 w14:paraId="6D44CDF5">
      <w:pPr>
        <w:numPr>
          <w:ilvl w:val="0"/>
          <w:numId w:val="3"/>
        </w:numPr>
        <w:spacing w:line="560" w:lineRule="exact"/>
        <w:ind w:firstLine="640" w:firstLineChars="200"/>
        <w:rPr>
          <w:rFonts w:eastAsia="黑体"/>
          <w:color w:val="auto"/>
          <w:sz w:val="32"/>
          <w:szCs w:val="32"/>
          <w:highlight w:val="none"/>
        </w:rPr>
      </w:pPr>
      <w:r>
        <w:rPr>
          <w:rFonts w:eastAsia="黑体"/>
          <w:color w:val="auto"/>
          <w:sz w:val="32"/>
          <w:szCs w:val="32"/>
          <w:highlight w:val="none"/>
        </w:rPr>
        <w:t>综合评价情况及评价结论（附相关评分表）</w:t>
      </w:r>
    </w:p>
    <w:p w14:paraId="5CC06677">
      <w:pPr>
        <w:pStyle w:val="9"/>
        <w:spacing w:before="0" w:after="0" w:line="560" w:lineRule="exact"/>
        <w:ind w:firstLine="643" w:firstLineChars="200"/>
        <w:jc w:val="both"/>
        <w:rPr>
          <w:rFonts w:ascii="Times New Roman" w:hAnsi="Times New Roman" w:eastAsia="楷体_GB2312"/>
          <w:color w:val="auto"/>
          <w:highlight w:val="none"/>
        </w:rPr>
      </w:pPr>
      <w:r>
        <w:rPr>
          <w:rFonts w:hint="eastAsia" w:ascii="Times New Roman" w:hAnsi="Times New Roman" w:eastAsia="楷体_GB2312"/>
          <w:color w:val="auto"/>
          <w:highlight w:val="none"/>
        </w:rPr>
        <w:t>（一）评价情况</w:t>
      </w:r>
    </w:p>
    <w:p w14:paraId="1322FCDE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</w:t>
      </w:r>
    </w:p>
    <w:p w14:paraId="71E3EF6B">
      <w:pPr>
        <w:pStyle w:val="9"/>
        <w:spacing w:before="0" w:after="0" w:line="560" w:lineRule="exact"/>
        <w:ind w:firstLine="643" w:firstLineChars="200"/>
        <w:jc w:val="both"/>
        <w:rPr>
          <w:rFonts w:ascii="Times New Roman" w:hAnsi="Times New Roman" w:eastAsia="楷体_GB2312"/>
          <w:color w:val="auto"/>
          <w:highlight w:val="none"/>
        </w:rPr>
      </w:pPr>
      <w:r>
        <w:rPr>
          <w:rFonts w:hint="eastAsia" w:ascii="Times New Roman" w:hAnsi="Times New Roman" w:eastAsia="楷体_GB2312"/>
          <w:color w:val="auto"/>
          <w:highlight w:val="none"/>
        </w:rPr>
        <w:t>（二）评价结论</w:t>
      </w:r>
    </w:p>
    <w:p w14:paraId="49855A19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100分，属于“优”。其中，项目决策类指标权重为20分，得分为 20分，得分率为100%。项目过程类指标权重为20分，得分为20分，得分率为 100%。项目产出类指标权重为40分，得分为40分，得分率为100%。项目效益类指标权重为20分，得分为20分，得分率为100%。具体打分情况详见：表1.综合评分表。</w:t>
      </w:r>
    </w:p>
    <w:p w14:paraId="149DC083">
      <w:pPr>
        <w:pStyle w:val="9"/>
        <w:spacing w:before="0" w:after="0"/>
        <w:rPr>
          <w:rFonts w:ascii="Times New Roman" w:hAnsi="Times New Roman" w:eastAsia="仿宋_GB2312"/>
          <w:color w:val="auto"/>
          <w:sz w:val="30"/>
          <w:szCs w:val="30"/>
          <w:highlight w:val="none"/>
        </w:rPr>
      </w:pP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表1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  <w:lang w:val="en-US" w:eastAsia="zh-CN"/>
        </w:rPr>
        <w:t>.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综合评分表</w:t>
      </w:r>
    </w:p>
    <w:tbl>
      <w:tblPr>
        <w:tblStyle w:val="11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 w14:paraId="0B122F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75E8641F">
            <w:pPr>
              <w:jc w:val="center"/>
              <w:rPr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2"/>
                <w:highlight w:val="none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404B8AAA">
            <w:pPr>
              <w:jc w:val="center"/>
              <w:rPr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2"/>
                <w:highlight w:val="none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6246906B">
            <w:pPr>
              <w:jc w:val="center"/>
              <w:rPr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2"/>
                <w:highlight w:val="none"/>
              </w:rPr>
              <w:t>得分</w:t>
            </w:r>
          </w:p>
        </w:tc>
      </w:tr>
      <w:tr w14:paraId="5B51D0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9FB77F">
            <w:pPr>
              <w:jc w:val="center"/>
              <w:rPr>
                <w:color w:val="auto"/>
                <w:sz w:val="22"/>
                <w:highlight w:val="none"/>
              </w:rPr>
            </w:pPr>
            <w:r>
              <w:rPr>
                <w:rFonts w:hint="eastAsia"/>
                <w:color w:val="auto"/>
                <w:sz w:val="22"/>
                <w:highlight w:val="none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F09252">
            <w:pPr>
              <w:jc w:val="center"/>
              <w:rPr>
                <w:color w:val="auto"/>
                <w:sz w:val="22"/>
                <w:highlight w:val="none"/>
              </w:rPr>
            </w:pPr>
            <w:r>
              <w:rPr>
                <w:rFonts w:hint="eastAsia"/>
                <w:color w:val="auto"/>
                <w:sz w:val="22"/>
                <w:highlight w:val="none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6F27C2">
            <w:pPr>
              <w:jc w:val="center"/>
              <w:rPr>
                <w:rFonts w:hint="default" w:eastAsia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highlight w:val="none"/>
                <w:lang w:val="en-US" w:eastAsia="zh-CN"/>
              </w:rPr>
              <w:t>20</w:t>
            </w:r>
          </w:p>
        </w:tc>
      </w:tr>
      <w:tr w14:paraId="607EF2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CA18A6">
            <w:pPr>
              <w:jc w:val="center"/>
              <w:rPr>
                <w:color w:val="auto"/>
                <w:sz w:val="22"/>
                <w:highlight w:val="none"/>
              </w:rPr>
            </w:pPr>
            <w:r>
              <w:rPr>
                <w:rFonts w:hint="eastAsia"/>
                <w:color w:val="auto"/>
                <w:sz w:val="22"/>
                <w:highlight w:val="none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974EF">
            <w:pPr>
              <w:jc w:val="center"/>
              <w:rPr>
                <w:color w:val="auto"/>
                <w:sz w:val="22"/>
                <w:highlight w:val="none"/>
              </w:rPr>
            </w:pPr>
            <w:r>
              <w:rPr>
                <w:rFonts w:hint="eastAsia"/>
                <w:color w:val="auto"/>
                <w:sz w:val="22"/>
                <w:highlight w:val="none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09A1A3">
            <w:pPr>
              <w:jc w:val="center"/>
              <w:rPr>
                <w:rFonts w:hint="default" w:eastAsia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highlight w:val="none"/>
                <w:lang w:val="en-US" w:eastAsia="zh-CN"/>
              </w:rPr>
              <w:t>20</w:t>
            </w:r>
          </w:p>
        </w:tc>
      </w:tr>
      <w:tr w14:paraId="5F272B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64C847">
            <w:pPr>
              <w:jc w:val="center"/>
              <w:rPr>
                <w:color w:val="auto"/>
                <w:sz w:val="22"/>
                <w:highlight w:val="none"/>
              </w:rPr>
            </w:pPr>
            <w:r>
              <w:rPr>
                <w:rFonts w:hint="eastAsia"/>
                <w:color w:val="auto"/>
                <w:sz w:val="22"/>
                <w:highlight w:val="none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EDCDC5">
            <w:pPr>
              <w:jc w:val="center"/>
              <w:rPr>
                <w:color w:val="auto"/>
                <w:sz w:val="22"/>
                <w:highlight w:val="none"/>
              </w:rPr>
            </w:pPr>
            <w:r>
              <w:rPr>
                <w:rFonts w:hint="eastAsia"/>
                <w:color w:val="auto"/>
                <w:sz w:val="22"/>
                <w:highlight w:val="none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D2BAF5">
            <w:pPr>
              <w:jc w:val="center"/>
              <w:rPr>
                <w:rFonts w:hint="default" w:eastAsia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highlight w:val="none"/>
                <w:lang w:val="en-US" w:eastAsia="zh-CN"/>
              </w:rPr>
              <w:t>40</w:t>
            </w:r>
          </w:p>
        </w:tc>
      </w:tr>
      <w:tr w14:paraId="52CFD0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779C6">
            <w:pPr>
              <w:jc w:val="center"/>
              <w:rPr>
                <w:color w:val="auto"/>
                <w:sz w:val="22"/>
                <w:highlight w:val="none"/>
              </w:rPr>
            </w:pPr>
            <w:r>
              <w:rPr>
                <w:rFonts w:hint="eastAsia"/>
                <w:color w:val="auto"/>
                <w:sz w:val="22"/>
                <w:highlight w:val="none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7374FA">
            <w:pPr>
              <w:jc w:val="center"/>
              <w:rPr>
                <w:color w:val="auto"/>
                <w:sz w:val="22"/>
                <w:highlight w:val="none"/>
              </w:rPr>
            </w:pPr>
            <w:r>
              <w:rPr>
                <w:rFonts w:hint="eastAsia"/>
                <w:color w:val="auto"/>
                <w:sz w:val="22"/>
                <w:highlight w:val="none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A6D799">
            <w:pPr>
              <w:jc w:val="center"/>
              <w:rPr>
                <w:rFonts w:hint="default" w:eastAsia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highlight w:val="none"/>
                <w:lang w:val="en-US" w:eastAsia="zh-CN"/>
              </w:rPr>
              <w:t>20</w:t>
            </w:r>
          </w:p>
        </w:tc>
      </w:tr>
      <w:tr w14:paraId="0B1307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C59E43">
            <w:pPr>
              <w:jc w:val="center"/>
              <w:rPr>
                <w:rFonts w:cs="宋体"/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eastAsia" w:cs="宋体"/>
                <w:b/>
                <w:bCs/>
                <w:color w:val="auto"/>
                <w:sz w:val="22"/>
                <w:highlight w:val="none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D83673">
            <w:pPr>
              <w:jc w:val="center"/>
              <w:rPr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2"/>
                <w:highlight w:val="none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325B01">
            <w:pPr>
              <w:jc w:val="center"/>
              <w:rPr>
                <w:rFonts w:hint="default" w:eastAsia="宋体"/>
                <w:b/>
                <w:bCs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2"/>
                <w:highlight w:val="none"/>
                <w:lang w:val="en-US" w:eastAsia="zh-CN"/>
              </w:rPr>
              <w:t>100</w:t>
            </w:r>
          </w:p>
        </w:tc>
      </w:tr>
    </w:tbl>
    <w:p w14:paraId="18DA30C7">
      <w:pPr>
        <w:rPr>
          <w:rFonts w:eastAsia="黑体"/>
          <w:color w:val="auto"/>
          <w:sz w:val="32"/>
          <w:szCs w:val="32"/>
          <w:highlight w:val="none"/>
        </w:rPr>
      </w:pPr>
      <w:r>
        <w:br w:type="page"/>
      </w:r>
    </w:p>
    <w:p w14:paraId="003AC8BE">
      <w:pPr>
        <w:spacing w:line="560" w:lineRule="exact"/>
        <w:ind w:firstLine="640" w:firstLineChars="200"/>
        <w:rPr>
          <w:rFonts w:eastAsia="黑体"/>
          <w:color w:val="auto"/>
          <w:sz w:val="32"/>
          <w:szCs w:val="32"/>
          <w:highlight w:val="none"/>
        </w:rPr>
      </w:pPr>
      <w:r>
        <w:rPr>
          <w:rFonts w:eastAsia="黑体"/>
          <w:color w:val="auto"/>
          <w:sz w:val="32"/>
          <w:szCs w:val="32"/>
          <w:highlight w:val="none"/>
        </w:rPr>
        <w:t>四、绩效评价指标分析</w:t>
      </w:r>
    </w:p>
    <w:p w14:paraId="6E5DF72F">
      <w:pPr>
        <w:pStyle w:val="9"/>
        <w:spacing w:before="0" w:after="0" w:line="560" w:lineRule="exact"/>
        <w:ind w:firstLine="643" w:firstLineChars="200"/>
        <w:jc w:val="both"/>
        <w:rPr>
          <w:rFonts w:ascii="Times New Roman" w:hAnsi="Times New Roman" w:eastAsia="楷体_GB2312"/>
          <w:color w:val="auto"/>
          <w:highlight w:val="none"/>
        </w:rPr>
      </w:pPr>
      <w:r>
        <w:rPr>
          <w:rFonts w:ascii="Times New Roman" w:hAnsi="Times New Roman" w:eastAsia="楷体_GB2312"/>
          <w:color w:val="auto"/>
          <w:highlight w:val="none"/>
        </w:rPr>
        <w:t>（一）项目决策情况</w:t>
      </w:r>
    </w:p>
    <w:p w14:paraId="2A1A57E2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项目决策类指标包括项目立项、绩效目标和资金投入三方面的内容，由6个三级指标构成，权重分值为20分，实际得分20分，得分率为100%。</w:t>
      </w:r>
    </w:p>
    <w:p w14:paraId="07F4A847">
      <w:pPr>
        <w:pStyle w:val="19"/>
        <w:spacing w:line="560" w:lineRule="exact"/>
        <w:ind w:firstLine="640"/>
        <w:rPr>
          <w:rFonts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1.项目立项</w:t>
      </w:r>
    </w:p>
    <w:p w14:paraId="2C8D97B9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（1）立项依据充分性</w:t>
      </w:r>
    </w:p>
    <w:p w14:paraId="4806D3AF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</w:p>
    <w:p w14:paraId="67E8D20A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（2）立项程序规范性</w:t>
      </w:r>
    </w:p>
    <w:p w14:paraId="3C27297A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项目申请、设立过程符合相关要求，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bidi="ar-SA"/>
        </w:rPr>
        <w:t>严格按照审批流程准备符合要求的文件、材料；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根据决算依据编制工作计划和经费预算，经过与部门项目分管领导沟通、筛选确定经费预算计划，确定最终预算方案。项目的审批文件、材料符合相关要求，项目事前经过必要的可行性研究、风险评估、绩效评估、集体决策，保障了程序的规范性。</w:t>
      </w:r>
    </w:p>
    <w:p w14:paraId="2FCFE2EF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2.绩效目标</w:t>
      </w:r>
    </w:p>
    <w:p w14:paraId="24DCFDAE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（1）绩效目标合理性</w:t>
      </w:r>
    </w:p>
    <w:p w14:paraId="00581ADF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bidi="ar-SA"/>
        </w:rPr>
        <w:t>年初结合实际工作内容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设定绩效目标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bidi="ar-SA"/>
        </w:rPr>
        <w:t>，绩效目标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</w:p>
    <w:p w14:paraId="6580D0EB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（2）绩效指标明确性</w:t>
      </w:r>
    </w:p>
    <w:p w14:paraId="0C468672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项目设置了明确的预期产出效益和效果，将绩效目标细化分解为具体的绩效指标，绩效目标与项目目标任务数相对应，绩效目标设定的绩效指标清晰、细化、可衡量。</w:t>
      </w:r>
    </w:p>
    <w:p w14:paraId="7A9AF6D3">
      <w:pPr>
        <w:ind w:firstLine="643" w:firstLineChars="20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3.资金投入</w:t>
      </w:r>
    </w:p>
    <w:p w14:paraId="73920018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（1）预算编制科学性</w:t>
      </w:r>
    </w:p>
    <w:p w14:paraId="6DC22D9E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预算编制经过科学论证，提供充分的测算依据佐证资料，预算内容与项目内容相匹配。项目投资额与工作任务相匹配。</w:t>
      </w:r>
    </w:p>
    <w:p w14:paraId="58B8D706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（2）资金分配合理性</w:t>
      </w:r>
    </w:p>
    <w:p w14:paraId="7114C163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资金分配额度与项目单位实际工作内容相适应，资金分配额度合理，资金分配依据充分。</w:t>
      </w:r>
    </w:p>
    <w:p w14:paraId="120D1DAD">
      <w:pPr>
        <w:pStyle w:val="9"/>
        <w:numPr>
          <w:ilvl w:val="0"/>
          <w:numId w:val="4"/>
        </w:numPr>
        <w:spacing w:before="0" w:after="0" w:line="560" w:lineRule="exact"/>
        <w:ind w:firstLine="643" w:firstLineChars="200"/>
        <w:jc w:val="both"/>
        <w:rPr>
          <w:rFonts w:ascii="楷体" w:hAnsi="楷体" w:eastAsia="楷体" w:cs="楷体"/>
          <w:color w:val="auto"/>
          <w:highlight w:val="none"/>
        </w:rPr>
      </w:pPr>
      <w:r>
        <w:rPr>
          <w:rFonts w:hint="eastAsia" w:ascii="楷体" w:hAnsi="楷体" w:eastAsia="楷体" w:cs="楷体"/>
          <w:color w:val="auto"/>
          <w:highlight w:val="none"/>
        </w:rPr>
        <w:t>项目过程情况</w:t>
      </w:r>
    </w:p>
    <w:p w14:paraId="4813E72C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项目过程类指标包括资金管理和组织实施两方面的内容，由5个三级指标构成，权重分值为20分，实际得分20分，得分率为100%。</w:t>
      </w:r>
    </w:p>
    <w:p w14:paraId="02A30876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</w:p>
    <w:p w14:paraId="169D68FF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1.资金管理</w:t>
      </w:r>
    </w:p>
    <w:p w14:paraId="766909DA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（1）资金到位率</w:t>
      </w:r>
    </w:p>
    <w:p w14:paraId="7DC2E5E3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本项目总投资31.69万元，财政资金及时足额到位，到位率100%，预算资金按计划进度执行。</w:t>
      </w:r>
    </w:p>
    <w:p w14:paraId="1B74C2B0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（2）预算执行率</w:t>
      </w:r>
    </w:p>
    <w:p w14:paraId="75F75A82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预算编制较为详细，项目资金支出总体能够按照预算执行，预算资金支出31.69万元，预算执行率为100%。</w:t>
      </w:r>
    </w:p>
    <w:p w14:paraId="70580361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（3）资金使用合规性</w:t>
      </w:r>
    </w:p>
    <w:p w14:paraId="4C31129F"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 w14:paraId="25E0B2B6">
      <w:pPr>
        <w:pStyle w:val="19"/>
        <w:spacing w:line="560" w:lineRule="exact"/>
        <w:ind w:firstLine="640"/>
        <w:rPr>
          <w:rFonts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2.组织实施</w:t>
      </w:r>
    </w:p>
    <w:p w14:paraId="69A836D4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（1）管理制度健全性</w:t>
      </w:r>
    </w:p>
    <w:p w14:paraId="6008376D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</w:p>
    <w:p w14:paraId="01FFA549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（2）制度执行有效性</w:t>
      </w:r>
    </w:p>
    <w:p w14:paraId="3CD117FA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 w14:paraId="0572209D">
      <w:pPr>
        <w:pStyle w:val="2"/>
        <w:numPr>
          <w:ilvl w:val="0"/>
          <w:numId w:val="4"/>
        </w:numPr>
        <w:spacing w:line="560" w:lineRule="exact"/>
        <w:ind w:firstLine="643"/>
        <w:rPr>
          <w:rFonts w:eastAsia="楷体_GB2312"/>
          <w:b/>
          <w:bCs/>
          <w:color w:val="auto"/>
          <w:sz w:val="32"/>
          <w:szCs w:val="32"/>
          <w:highlight w:val="none"/>
        </w:rPr>
      </w:pPr>
      <w:r>
        <w:rPr>
          <w:rFonts w:eastAsia="楷体_GB2312"/>
          <w:b/>
          <w:bCs/>
          <w:color w:val="auto"/>
          <w:sz w:val="32"/>
          <w:szCs w:val="32"/>
          <w:highlight w:val="none"/>
        </w:rPr>
        <w:t>项目产出</w:t>
      </w:r>
      <w:r>
        <w:rPr>
          <w:rFonts w:hint="eastAsia" w:eastAsia="楷体_GB2312"/>
          <w:b/>
          <w:bCs/>
          <w:color w:val="auto"/>
          <w:sz w:val="32"/>
          <w:szCs w:val="32"/>
          <w:highlight w:val="none"/>
        </w:rPr>
        <w:t>情况</w:t>
      </w:r>
    </w:p>
    <w:p w14:paraId="35D341A5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项目产出类指标包括产出数量、产出质量、产出时效、产出成本四方面的内容，由6个三级指标构成，权重分为40分，实际得分10分，得分率为100%。具体产出指标完成情况如下：</w:t>
      </w:r>
    </w:p>
    <w:p w14:paraId="4713A319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fldChar w:fldCharType="begin"/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instrText xml:space="preserve"> = 1 \* GB3 </w:instrTex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fldChar w:fldCharType="separate"/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①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fldChar w:fldCharType="end"/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数量指标：</w:t>
      </w:r>
    </w:p>
    <w:p w14:paraId="1B233F50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指标1：雇员及临聘人数，指标值：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等于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4人，实际完成值：4人，指标完成率100%。</w:t>
      </w:r>
      <w:r>
        <w:rPr>
          <w:rFonts w:hint="eastAsia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此项指标的完成通过雇员及临聘人员工作考勤体现。</w:t>
      </w:r>
    </w:p>
    <w:p w14:paraId="7FB912DD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指标2：发放工资次数，指标值：等于12次，时间完成值：12次，指标完成率100%。</w:t>
      </w:r>
      <w:r>
        <w:rPr>
          <w:rFonts w:hint="eastAsia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此项指标的完成通过我单位的工资发放次数说明体现。</w:t>
      </w:r>
    </w:p>
    <w:p w14:paraId="7CE79D90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fldChar w:fldCharType="begin"/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instrText xml:space="preserve"> = 2 \* GB3 </w:instrTex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fldChar w:fldCharType="separate"/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②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fldChar w:fldCharType="end"/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质量指标：</w:t>
      </w:r>
    </w:p>
    <w:p w14:paraId="1C1FD6D4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指标1：按时完成工作任务，指标值：等于100% ，实际完成值：100%，指标完成率100%。</w:t>
      </w:r>
      <w:r>
        <w:rPr>
          <w:rFonts w:hint="eastAsia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此项指标的完成通过我单位年终工作总结体现。</w:t>
      </w:r>
    </w:p>
    <w:p w14:paraId="2A186EB6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fldChar w:fldCharType="begin"/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instrText xml:space="preserve"> = 3 \* GB3 </w:instrTex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fldChar w:fldCharType="separate"/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③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fldChar w:fldCharType="end"/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时效指标：</w:t>
      </w:r>
    </w:p>
    <w:p w14:paraId="6E56C3B0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指标1：工资发放及时率，指标值：等于100% ，实际完成值：100%，指标完成率100%。</w:t>
      </w:r>
      <w:r>
        <w:rPr>
          <w:rFonts w:hint="eastAsia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此项指标的完成通过我单位雇员及临聘工资发放明细账目体现。</w:t>
      </w:r>
    </w:p>
    <w:p w14:paraId="4DFEAFCD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fldChar w:fldCharType="begin"/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instrText xml:space="preserve"> = 4 \* GB3 </w:instrTex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fldChar w:fldCharType="separate"/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④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fldChar w:fldCharType="end"/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成本指标：</w:t>
      </w:r>
    </w:p>
    <w:p w14:paraId="75FEF9CB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指标1：临聘工资成本，指标值：等于9.25万元 ，实际完成值：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9.25万元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，指标完成率100%。</w:t>
      </w:r>
      <w:r>
        <w:rPr>
          <w:rFonts w:hint="eastAsia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此项指标的完成通过我单位临聘工资发放明细账目体现。</w:t>
      </w:r>
    </w:p>
    <w:p w14:paraId="0F9C4C7C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 w14:paraId="61E14943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指标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2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：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雇员工资成本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，指标值：等于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22.44万元 ，实际完成值：22.44万元，指标完成率100%。</w:t>
      </w:r>
      <w:r>
        <w:rPr>
          <w:rFonts w:hint="eastAsia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此项指标的完成通过我单位雇员工资发放明细账目体现。</w:t>
      </w:r>
    </w:p>
    <w:p w14:paraId="7148AA41">
      <w:pPr>
        <w:pStyle w:val="2"/>
        <w:numPr>
          <w:ilvl w:val="0"/>
          <w:numId w:val="4"/>
        </w:numPr>
        <w:spacing w:line="560" w:lineRule="exact"/>
        <w:ind w:firstLine="643"/>
        <w:rPr>
          <w:rFonts w:eastAsia="楷体_GB2312"/>
          <w:b/>
          <w:bCs/>
          <w:color w:val="auto"/>
          <w:sz w:val="32"/>
          <w:szCs w:val="32"/>
          <w:highlight w:val="none"/>
        </w:rPr>
      </w:pPr>
      <w:r>
        <w:rPr>
          <w:rFonts w:hint="eastAsia" w:eastAsia="楷体_GB2312"/>
          <w:b/>
          <w:bCs/>
          <w:color w:val="auto"/>
          <w:sz w:val="32"/>
          <w:szCs w:val="32"/>
          <w:highlight w:val="none"/>
        </w:rPr>
        <w:t>项目效益情况</w:t>
      </w:r>
    </w:p>
    <w:p w14:paraId="5BBCBA1D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项目效益类指标包括项目实施效益和满意度两方面的内容，由1个三级指标构成，权重分为20分，实际得分20分，得分率为100%。具体效益指标及满意度指标完成情况如下：</w:t>
      </w:r>
    </w:p>
    <w:p w14:paraId="6DCFEEC3">
      <w:pPr>
        <w:spacing w:line="600" w:lineRule="exact"/>
        <w:ind w:firstLine="643" w:firstLineChars="200"/>
        <w:outlineLvl w:val="0"/>
        <w:rPr>
          <w:rFonts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1.实施效益</w:t>
      </w:r>
    </w:p>
    <w:p w14:paraId="292F1971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社会效益指标：</w:t>
      </w:r>
    </w:p>
    <w:p w14:paraId="75C43456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为我单位顺利开展各项工作提供有限保障，指标值：有效提高，完成值：完全达到预期目标，完成率：100%。</w:t>
      </w:r>
      <w:r>
        <w:rPr>
          <w:rFonts w:hint="eastAsia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此项目的完成，有力的保障了我单位各项工作额顺利开展，弥补了人员不足的问题。</w:t>
      </w:r>
    </w:p>
    <w:p w14:paraId="4761B8D9">
      <w:pPr>
        <w:spacing w:line="560" w:lineRule="exact"/>
        <w:ind w:firstLine="640" w:firstLineChars="200"/>
        <w:rPr>
          <w:rStyle w:val="18"/>
          <w:rFonts w:ascii="Times New Roman" w:hAnsi="Times New Roman" w:cs="Times New Roman"/>
          <w:color w:val="auto"/>
          <w:highlight w:val="none"/>
        </w:rPr>
      </w:pPr>
      <w:r>
        <w:rPr>
          <w:rFonts w:hint="eastAsia" w:eastAsia="黑体"/>
          <w:color w:val="auto"/>
          <w:sz w:val="32"/>
          <w:szCs w:val="32"/>
          <w:highlight w:val="none"/>
          <w:lang w:val="en-US" w:eastAsia="zh-CN"/>
        </w:rPr>
        <w:t>五</w:t>
      </w:r>
      <w:r>
        <w:rPr>
          <w:rFonts w:eastAsia="黑体"/>
          <w:color w:val="auto"/>
          <w:sz w:val="32"/>
          <w:szCs w:val="32"/>
          <w:highlight w:val="none"/>
        </w:rPr>
        <w:t>、主要经验及做法、存在的问题及原因分析</w:t>
      </w:r>
    </w:p>
    <w:p w14:paraId="400EB8DF">
      <w:pPr>
        <w:spacing w:line="560" w:lineRule="exact"/>
        <w:ind w:firstLine="627" w:firstLineChars="200"/>
        <w:rPr>
          <w:rFonts w:eastAsia="楷体"/>
          <w:b/>
          <w:color w:val="auto"/>
          <w:spacing w:val="-4"/>
          <w:sz w:val="32"/>
          <w:szCs w:val="32"/>
          <w:highlight w:val="none"/>
        </w:rPr>
      </w:pPr>
      <w:r>
        <w:rPr>
          <w:rFonts w:eastAsia="楷体"/>
          <w:b/>
          <w:color w:val="auto"/>
          <w:spacing w:val="-4"/>
          <w:sz w:val="32"/>
          <w:szCs w:val="32"/>
          <w:highlight w:val="none"/>
        </w:rPr>
        <w:t>（一）主要经验及做法</w:t>
      </w:r>
    </w:p>
    <w:p w14:paraId="4FED5F1F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</w:p>
    <w:p w14:paraId="41DC524C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</w:p>
    <w:p w14:paraId="1D85E176">
      <w:pPr>
        <w:keepNext/>
        <w:keepLines/>
        <w:numPr>
          <w:ilvl w:val="0"/>
          <w:numId w:val="5"/>
        </w:numPr>
        <w:spacing w:line="560" w:lineRule="exact"/>
        <w:ind w:firstLine="643" w:firstLineChars="200"/>
        <w:rPr>
          <w:rFonts w:eastAsia="楷体_GB2312"/>
          <w:b/>
          <w:bCs/>
          <w:color w:val="auto"/>
          <w:sz w:val="32"/>
          <w:szCs w:val="32"/>
          <w:highlight w:val="none"/>
        </w:rPr>
      </w:pPr>
      <w:r>
        <w:rPr>
          <w:rFonts w:eastAsia="楷体_GB2312"/>
          <w:b/>
          <w:bCs/>
          <w:color w:val="auto"/>
          <w:sz w:val="32"/>
          <w:szCs w:val="32"/>
          <w:highlight w:val="none"/>
        </w:rPr>
        <w:t>存在的问题及原因分析</w:t>
      </w:r>
    </w:p>
    <w:p w14:paraId="277934F3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</w:t>
      </w:r>
    </w:p>
    <w:p w14:paraId="6D1789CF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2.因轮岗、调动、等因素使我单位绩效工作人员流动频繁，造成了工作衔接不到位的情况。</w:t>
      </w:r>
    </w:p>
    <w:p w14:paraId="3A16EAD3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3.临聘人员工资不高，没有随工作年限进行调整。我区临聘人员基本工资多年未变，对于长期在岗的临聘人员，不利于调动临聘人员工作积极性。</w:t>
      </w:r>
    </w:p>
    <w:p w14:paraId="6BB50A3E">
      <w:pPr>
        <w:spacing w:line="560" w:lineRule="exact"/>
        <w:ind w:firstLine="640" w:firstLineChars="200"/>
        <w:rPr>
          <w:rFonts w:eastAsia="黑体"/>
          <w:color w:val="auto"/>
          <w:sz w:val="32"/>
          <w:szCs w:val="32"/>
          <w:highlight w:val="none"/>
        </w:rPr>
      </w:pPr>
      <w:r>
        <w:rPr>
          <w:rFonts w:hint="eastAsia" w:eastAsia="黑体"/>
          <w:color w:val="auto"/>
          <w:sz w:val="32"/>
          <w:szCs w:val="32"/>
          <w:highlight w:val="none"/>
          <w:lang w:val="en-US" w:eastAsia="zh-CN"/>
        </w:rPr>
        <w:t>六</w:t>
      </w:r>
      <w:r>
        <w:rPr>
          <w:rFonts w:hint="eastAsia" w:eastAsia="黑体"/>
          <w:color w:val="auto"/>
          <w:sz w:val="32"/>
          <w:szCs w:val="32"/>
          <w:highlight w:val="none"/>
        </w:rPr>
        <w:t>、</w:t>
      </w:r>
      <w:r>
        <w:rPr>
          <w:rFonts w:eastAsia="黑体"/>
          <w:color w:val="auto"/>
          <w:sz w:val="32"/>
          <w:szCs w:val="32"/>
          <w:highlight w:val="none"/>
        </w:rPr>
        <w:t>有关建议</w:t>
      </w:r>
    </w:p>
    <w:p w14:paraId="29393A29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1.多进行有关绩效管理工作方面的培训。积极组织第三方开展绩效管理工作培训，进一步夯实业务基础，提高我单位绩效人员水平。</w:t>
      </w:r>
    </w:p>
    <w:p w14:paraId="0C7536DF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2.专门设定对绩效工作人员定职、定岗、定责等相关制度措施，进一步提升我单位绩效管理工作业务水平，扎实做好绩效管理工作。</w:t>
      </w:r>
    </w:p>
    <w:p w14:paraId="664A0686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</w:p>
    <w:p w14:paraId="753B3B8B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4.进一步完善项目评价过程中有关数据和资料的收集、整理、审核及分析。项目启动时同步做好档案的归纳与整理，及时整理、收集、汇总，健全档案资料。项目后续管理有待进一步加强和跟踪。</w:t>
      </w:r>
    </w:p>
    <w:p w14:paraId="7E4F4493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 w14:paraId="47D83CCE">
      <w:pPr>
        <w:ind w:firstLine="640" w:firstLineChars="200"/>
        <w:rPr>
          <w:rFonts w:eastAsia="黑体"/>
          <w:color w:val="auto"/>
          <w:sz w:val="32"/>
          <w:szCs w:val="32"/>
          <w:highlight w:val="none"/>
        </w:rPr>
      </w:pPr>
      <w:r>
        <w:rPr>
          <w:rFonts w:hint="eastAsia" w:eastAsia="黑体"/>
          <w:color w:val="auto"/>
          <w:sz w:val="32"/>
          <w:szCs w:val="32"/>
          <w:highlight w:val="none"/>
          <w:lang w:val="en-US" w:eastAsia="zh-CN"/>
        </w:rPr>
        <w:t>七</w:t>
      </w:r>
      <w:r>
        <w:rPr>
          <w:rFonts w:hint="eastAsia" w:eastAsia="黑体"/>
          <w:color w:val="auto"/>
          <w:sz w:val="32"/>
          <w:szCs w:val="32"/>
          <w:highlight w:val="none"/>
        </w:rPr>
        <w:t>、</w:t>
      </w:r>
      <w:r>
        <w:rPr>
          <w:rFonts w:eastAsia="黑体"/>
          <w:color w:val="auto"/>
          <w:sz w:val="32"/>
          <w:szCs w:val="32"/>
          <w:highlight w:val="none"/>
        </w:rPr>
        <w:t>其他需要说</w:t>
      </w:r>
      <w:bookmarkStart w:id="2" w:name="page8"/>
      <w:bookmarkEnd w:id="2"/>
      <w:r>
        <w:rPr>
          <w:rFonts w:eastAsia="黑体"/>
          <w:color w:val="auto"/>
          <w:sz w:val="32"/>
          <w:szCs w:val="32"/>
          <w:highlight w:val="none"/>
        </w:rPr>
        <w:t>明的问题</w:t>
      </w:r>
    </w:p>
    <w:p w14:paraId="1C916FCC">
      <w:pPr>
        <w:pStyle w:val="10"/>
        <w:spacing w:after="0" w:line="560" w:lineRule="exact"/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1.项目支出政策和路径设计科学，符合实际需要；</w:t>
      </w:r>
    </w:p>
    <w:p w14:paraId="4FEF4633">
      <w:pPr>
        <w:pStyle w:val="10"/>
        <w:spacing w:after="0" w:line="560" w:lineRule="exact"/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2.项目安排准确，未发现背离项目立项初衷的情况；</w:t>
      </w:r>
    </w:p>
    <w:p w14:paraId="0988FE67">
      <w:pPr>
        <w:pStyle w:val="10"/>
        <w:spacing w:after="0" w:line="560" w:lineRule="exact"/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3.项目的申报、审核机制完善；</w:t>
      </w:r>
    </w:p>
    <w:p w14:paraId="6A32E10D">
      <w:pPr>
        <w:pStyle w:val="10"/>
        <w:spacing w:after="0" w:line="560" w:lineRule="exact"/>
        <w:ind w:left="0" w:leftChars="0" w:firstLine="640" w:firstLineChars="200"/>
        <w:rPr>
          <w:rFonts w:ascii="仿宋_GB2312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4.未发现虚假行为和骗取财政资金的问题。</w:t>
      </w:r>
    </w:p>
    <w:p w14:paraId="7EEE183C">
      <w:pPr>
        <w:rPr>
          <w:color w:val="auto"/>
          <w:highlight w:val="none"/>
        </w:rPr>
      </w:pPr>
      <w:bookmarkStart w:id="3" w:name="_GoBack"/>
      <w:bookmarkEnd w:id="3"/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675D17F-8DE7-44CA-B121-8F36EB64D7D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DDBF3D0C-EC7A-4D9F-BBA1-C64F425EB461}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  <w:embedRegular r:id="rId3" w:fontKey="{78326F9A-CE7B-478D-9474-11CE71B845AE}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C18F760F-CAD8-4DA4-8CA9-4C8CF6AF2437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CA2CF4CA-3038-45EF-8099-E81D28358788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6" w:fontKey="{98773561-3BAB-4F23-804A-F5BAA0FB880B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7" w:fontKey="{1FEE0682-44A5-40DC-A8EB-4276AB0755E2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8" w:fontKey="{BB9A129F-5845-45C5-8896-560BF8F77B7E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9" w:fontKey="{9D87191B-FAAD-48A3-A952-D78E34FB0BD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65458"/>
    </w:sdtPr>
    <w:sdtContent>
      <w:p w14:paraId="2CE9A592"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 w14:paraId="0CD952D2"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F205925"/>
    <w:multiLevelType w:val="singleLevel"/>
    <w:tmpl w:val="BF20592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CF092B84"/>
    <w:multiLevelType w:val="singleLevel"/>
    <w:tmpl w:val="CF092B84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0053208E"/>
    <w:multiLevelType w:val="singleLevel"/>
    <w:tmpl w:val="0053208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59ADCABA"/>
    <w:multiLevelType w:val="singleLevel"/>
    <w:tmpl w:val="59ADCAB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doNotDisplayPageBoundaries w:val="1"/>
  <w:embedTrueTypeFonts/>
  <w:saveSubsetFonts/>
  <w:bordersDoNotSurroundHeader w:val="0"/>
  <w:bordersDoNotSurroundFooter w:val="0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2NTU0MWNlMTdmZDllOTYxYjJiZGVlZTI3NjFlNmQifQ=="/>
  </w:docVars>
  <w:rsids>
    <w:rsidRoot w:val="00000000"/>
    <w:rsid w:val="22B81590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99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3"/>
    <w:basedOn w:val="1"/>
    <w:next w:val="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spacing w:after="0"/>
      <w:ind w:firstLine="200" w:firstLineChars="200"/>
    </w:pPr>
  </w:style>
  <w:style w:type="paragraph" w:styleId="3">
    <w:name w:val="Body Text"/>
    <w:basedOn w:val="1"/>
    <w:next w:val="2"/>
    <w:qFormat/>
    <w:uiPriority w:val="0"/>
    <w:pPr>
      <w:spacing w:after="120"/>
    </w:pPr>
  </w:style>
  <w:style w:type="paragraph" w:styleId="4">
    <w:name w:val="footer"/>
    <w:basedOn w:val="1"/>
    <w:next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6">
    <w:name w:val="Body Text Indent"/>
    <w:basedOn w:val="1"/>
    <w:qFormat/>
    <w:uiPriority w:val="0"/>
    <w:pPr>
      <w:spacing w:after="120"/>
      <w:ind w:left="420" w:leftChars="200"/>
    </w:pPr>
    <w:rPr>
      <w:rFonts w:ascii="Calibri" w:hAnsi="Calibri"/>
    </w:rPr>
  </w:style>
  <w:style w:type="paragraph" w:styleId="7">
    <w:name w:val="Balloon Text"/>
    <w:basedOn w:val="1"/>
    <w:link w:val="20"/>
    <w:qFormat/>
    <w:uiPriority w:val="0"/>
    <w:rPr>
      <w:sz w:val="18"/>
      <w:szCs w:val="18"/>
    </w:rPr>
  </w:style>
  <w:style w:type="paragraph" w:styleId="8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10">
    <w:name w:val="Body Text First Indent 2"/>
    <w:basedOn w:val="6"/>
    <w:qFormat/>
    <w:uiPriority w:val="0"/>
    <w:pPr>
      <w:ind w:firstLine="420" w:firstLineChars="200"/>
    </w:pPr>
  </w:style>
  <w:style w:type="table" w:styleId="12">
    <w:name w:val="Table Grid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4">
    <w:name w:val="Strong"/>
    <w:basedOn w:val="13"/>
    <w:qFormat/>
    <w:uiPriority w:val="0"/>
    <w:rPr>
      <w:b/>
      <w:bCs/>
    </w:rPr>
  </w:style>
  <w:style w:type="paragraph" w:customStyle="1" w:styleId="15">
    <w:name w:val="Comment Text"/>
    <w:basedOn w:val="1"/>
    <w:link w:val="22"/>
    <w:qFormat/>
    <w:uiPriority w:val="0"/>
    <w:pPr>
      <w:jc w:val="left"/>
    </w:pPr>
  </w:style>
  <w:style w:type="paragraph" w:customStyle="1" w:styleId="16">
    <w:name w:val="Comment Subject"/>
    <w:basedOn w:val="15"/>
    <w:next w:val="15"/>
    <w:link w:val="23"/>
    <w:qFormat/>
    <w:uiPriority w:val="0"/>
    <w:rPr>
      <w:b/>
      <w:bCs/>
    </w:rPr>
  </w:style>
  <w:style w:type="character" w:customStyle="1" w:styleId="17">
    <w:name w:val="Comment Reference"/>
    <w:basedOn w:val="13"/>
    <w:qFormat/>
    <w:uiPriority w:val="0"/>
    <w:rPr>
      <w:sz w:val="21"/>
      <w:szCs w:val="21"/>
    </w:rPr>
  </w:style>
  <w:style w:type="character" w:customStyle="1" w:styleId="18">
    <w:name w:val="fontstyle01"/>
    <w:qFormat/>
    <w:uiPriority w:val="0"/>
    <w:rPr>
      <w:rFonts w:ascii="仿宋_GB2312" w:hAnsi="仿宋_GB2312" w:eastAsia="仿宋_GB2312" w:cs="仿宋_GB2312"/>
      <w:color w:val="000000"/>
      <w:sz w:val="32"/>
      <w:szCs w:val="32"/>
    </w:rPr>
  </w:style>
  <w:style w:type="paragraph" w:customStyle="1" w:styleId="19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  <w:style w:type="character" w:customStyle="1" w:styleId="20">
    <w:name w:val="批注框文本 字符"/>
    <w:basedOn w:val="13"/>
    <w:link w:val="7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1">
    <w:name w:val="页眉 字符"/>
    <w:basedOn w:val="13"/>
    <w:link w:val="8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2">
    <w:name w:val="批注文字 字符"/>
    <w:basedOn w:val="13"/>
    <w:link w:val="15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3">
    <w:name w:val="批注主题 字符"/>
    <w:basedOn w:val="22"/>
    <w:link w:val="16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35462C0B3FB543198819AAAFD75799DD_13</vt:lpwstr>
  </property>
  <property fmtid="{D5CDD505-2E9C-101B-9397-08002B2CF9AE}" pid="4" name="KSOTemplateDocerSaveRecord">
    <vt:lpwstr>eyJoZGlkIjoiZjFmZWIzNDg2MmIzZjExOTIzMmViNTBmYTMwYTk0ZWYiLCJ1c2VySWQiOiI0MTgzMjQ1MDUifQ==</vt:lpwstr>
  </property>
</Properties>
</file>

<file path=customXml/itemProps1.xml><?xml version="1.0" encoding="utf-8"?>
<ds:datastoreItem xmlns:ds="http://schemas.openxmlformats.org/officeDocument/2006/customXml" ds:itemID="{EEA5C986-6CAE-461A-935E-905AB5D0E2F3}">
  <ds:schemaRefs/>
</ds:datastoreItem>
</file>

<file path=customXml/itemProps2.xml><?xml version="1.0" encoding="utf-8"?>
<ds:datastoreItem xmlns:ds="http://schemas.openxmlformats.org/officeDocument/2006/customXml" ds:itemID="{bc93048d-8a04-4f85-87da-df2ee9ca0af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120</Words>
  <Characters>132</Characters>
  <Lines>66</Lines>
  <Paragraphs>18</Paragraphs>
  <TotalTime>8</TotalTime>
  <ScaleCrop>false</ScaleCrop>
  <LinksUpToDate>false</LinksUpToDate>
  <CharactersWithSpaces>132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2023-03-08T13:13:00Z</dcterms:created>
  <dc:creator>审核人</dc:creator>
  <cp:lastModifiedBy>白羊</cp:lastModifiedBy>
  <cp:lastPrinted>2025-06-27T10:19:00Z</cp:lastPrinted>
  <dcterms:modified xsi:type="dcterms:W3CDTF">2025-11-04T10:12:57Z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35462C0B3FB543198819AAAFD75799DD_13</vt:lpwstr>
  </property>
  <property fmtid="{D5CDD505-2E9C-101B-9397-08002B2CF9AE}" pid="4" name="KSOTemplateDocerSaveRecord">
    <vt:lpwstr>eyJoZGlkIjoiYjM4NWYyMWE2NWU1OGNiMmIxMmZkYzA5MWEwNzJlZmIiLCJ1c2VySWQiOiI0MzE2NzY3NzkifQ==</vt:lpwstr>
  </property>
</Properties>
</file>